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81" w:rsidRDefault="005E02A6" w:rsidP="00DF06FF">
      <w:pPr>
        <w:pStyle w:val="Plai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Contribution to </w:t>
      </w:r>
      <w:r w:rsidR="00DF06FF">
        <w:rPr>
          <w:b/>
          <w:bCs/>
          <w:sz w:val="28"/>
          <w:szCs w:val="28"/>
        </w:rPr>
        <w:t xml:space="preserve">the </w:t>
      </w:r>
      <w:bookmarkStart w:id="0" w:name="_GoBack"/>
      <w:bookmarkEnd w:id="0"/>
      <w:r>
        <w:rPr>
          <w:b/>
          <w:bCs/>
          <w:sz w:val="28"/>
          <w:szCs w:val="28"/>
        </w:rPr>
        <w:t>Open C</w:t>
      </w:r>
      <w:r w:rsidRPr="005E02A6">
        <w:rPr>
          <w:b/>
          <w:bCs/>
          <w:sz w:val="28"/>
          <w:szCs w:val="28"/>
        </w:rPr>
        <w:t>onsultation of CWGs</w:t>
      </w:r>
    </w:p>
    <w:p w:rsidR="005E02A6" w:rsidRDefault="005E02A6" w:rsidP="005E02A6">
      <w:pPr>
        <w:pStyle w:val="Plai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Andrea Saks, Chairman of </w:t>
      </w:r>
      <w:r w:rsidR="00A55E77">
        <w:rPr>
          <w:b/>
          <w:bCs/>
          <w:sz w:val="28"/>
          <w:szCs w:val="28"/>
        </w:rPr>
        <w:t xml:space="preserve">ITU-T </w:t>
      </w:r>
      <w:r>
        <w:rPr>
          <w:b/>
          <w:bCs/>
          <w:sz w:val="28"/>
          <w:szCs w:val="28"/>
        </w:rPr>
        <w:t>JCA-AHF</w:t>
      </w:r>
    </w:p>
    <w:p w:rsidR="005E02A6" w:rsidRPr="005E02A6" w:rsidRDefault="005E02A6" w:rsidP="005E02A6">
      <w:pPr>
        <w:pStyle w:val="PlainText"/>
        <w:jc w:val="center"/>
        <w:rPr>
          <w:b/>
          <w:bCs/>
          <w:sz w:val="28"/>
          <w:szCs w:val="28"/>
        </w:rPr>
      </w:pPr>
    </w:p>
    <w:p w:rsidR="00C57ED0" w:rsidRDefault="00D41381" w:rsidP="00403B33">
      <w:pPr>
        <w:pStyle w:val="PlainText"/>
        <w:rPr>
          <w:sz w:val="28"/>
          <w:szCs w:val="28"/>
        </w:rPr>
      </w:pPr>
      <w:r w:rsidRPr="00D41381">
        <w:rPr>
          <w:sz w:val="28"/>
          <w:szCs w:val="28"/>
        </w:rPr>
        <w:t>Without I</w:t>
      </w:r>
      <w:r w:rsidR="00C57ED0">
        <w:rPr>
          <w:sz w:val="28"/>
          <w:szCs w:val="28"/>
        </w:rPr>
        <w:t>nternational Standards with accessibility features and i</w:t>
      </w:r>
      <w:r w:rsidRPr="00D41381">
        <w:rPr>
          <w:sz w:val="28"/>
          <w:szCs w:val="28"/>
        </w:rPr>
        <w:t xml:space="preserve">ncreasing </w:t>
      </w:r>
      <w:r w:rsidR="00C57ED0">
        <w:rPr>
          <w:sz w:val="28"/>
          <w:szCs w:val="28"/>
        </w:rPr>
        <w:t xml:space="preserve">the </w:t>
      </w:r>
      <w:r w:rsidRPr="00D41381">
        <w:rPr>
          <w:sz w:val="28"/>
          <w:szCs w:val="28"/>
        </w:rPr>
        <w:t xml:space="preserve">awareness the of needs of persons with disability and </w:t>
      </w:r>
      <w:r w:rsidRPr="00706D56">
        <w:rPr>
          <w:sz w:val="28"/>
          <w:szCs w:val="28"/>
        </w:rPr>
        <w:t>specific needs</w:t>
      </w:r>
      <w:r w:rsidR="00C57ED0">
        <w:rPr>
          <w:sz w:val="28"/>
          <w:szCs w:val="28"/>
        </w:rPr>
        <w:t xml:space="preserve"> by involving them directly in the standard writing process, the problem of poor access to the internet and ICTs will continue to exist</w:t>
      </w:r>
      <w:r w:rsidR="00403B33">
        <w:rPr>
          <w:sz w:val="28"/>
          <w:szCs w:val="28"/>
        </w:rPr>
        <w:t>.</w:t>
      </w:r>
    </w:p>
    <w:p w:rsidR="00C57ED0" w:rsidRDefault="00C57ED0" w:rsidP="00844733">
      <w:pPr>
        <w:pStyle w:val="PlainText"/>
        <w:rPr>
          <w:sz w:val="28"/>
          <w:szCs w:val="28"/>
        </w:rPr>
      </w:pPr>
    </w:p>
    <w:p w:rsidR="00C57ED0" w:rsidRDefault="00C57ED0" w:rsidP="00844733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The need to involve all stake holders in the development of government policy has to be coupled with the </w:t>
      </w:r>
      <w:r w:rsidR="00D41381" w:rsidRPr="00D41381">
        <w:rPr>
          <w:sz w:val="28"/>
          <w:szCs w:val="28"/>
        </w:rPr>
        <w:t xml:space="preserve">understanding that </w:t>
      </w:r>
      <w:r w:rsidR="00D41381">
        <w:rPr>
          <w:sz w:val="28"/>
          <w:szCs w:val="28"/>
        </w:rPr>
        <w:t xml:space="preserve">International </w:t>
      </w:r>
      <w:r w:rsidR="00D41381" w:rsidRPr="00D41381">
        <w:rPr>
          <w:sz w:val="28"/>
          <w:szCs w:val="28"/>
        </w:rPr>
        <w:t>standards</w:t>
      </w:r>
      <w:r>
        <w:rPr>
          <w:sz w:val="28"/>
          <w:szCs w:val="28"/>
        </w:rPr>
        <w:t xml:space="preserve"> that improve the access to services have to be </w:t>
      </w:r>
      <w:r w:rsidR="00403B33" w:rsidRPr="00D41381">
        <w:rPr>
          <w:sz w:val="28"/>
          <w:szCs w:val="28"/>
        </w:rPr>
        <w:t>global</w:t>
      </w:r>
      <w:r w:rsidR="00403B33">
        <w:rPr>
          <w:sz w:val="28"/>
          <w:szCs w:val="28"/>
        </w:rPr>
        <w:t>ly</w:t>
      </w:r>
      <w:r w:rsidR="00D41381" w:rsidRPr="00D41381">
        <w:rPr>
          <w:sz w:val="28"/>
          <w:szCs w:val="28"/>
        </w:rPr>
        <w:t xml:space="preserve"> interoperab</w:t>
      </w:r>
      <w:r w:rsidR="00403B33">
        <w:rPr>
          <w:sz w:val="28"/>
          <w:szCs w:val="28"/>
        </w:rPr>
        <w:t>le</w:t>
      </w:r>
      <w:r w:rsidR="00D41381" w:rsidRPr="00D41381">
        <w:rPr>
          <w:sz w:val="28"/>
          <w:szCs w:val="28"/>
        </w:rPr>
        <w:t xml:space="preserve"> </w:t>
      </w:r>
      <w:r w:rsidR="00D41381">
        <w:rPr>
          <w:sz w:val="28"/>
          <w:szCs w:val="28"/>
        </w:rPr>
        <w:t>with</w:t>
      </w:r>
      <w:r>
        <w:rPr>
          <w:sz w:val="28"/>
          <w:szCs w:val="28"/>
        </w:rPr>
        <w:t xml:space="preserve"> full implementation </w:t>
      </w:r>
      <w:r w:rsidR="00403B33">
        <w:rPr>
          <w:sz w:val="28"/>
          <w:szCs w:val="28"/>
        </w:rPr>
        <w:t xml:space="preserve">of </w:t>
      </w:r>
      <w:r w:rsidR="00D41381">
        <w:rPr>
          <w:sz w:val="28"/>
          <w:szCs w:val="28"/>
        </w:rPr>
        <w:t>accessibility features</w:t>
      </w:r>
      <w:r>
        <w:rPr>
          <w:sz w:val="28"/>
          <w:szCs w:val="28"/>
        </w:rPr>
        <w:t xml:space="preserve">.  </w:t>
      </w:r>
    </w:p>
    <w:p w:rsidR="00C57ED0" w:rsidRDefault="00C57ED0" w:rsidP="00844733">
      <w:pPr>
        <w:pStyle w:val="PlainText"/>
        <w:rPr>
          <w:sz w:val="28"/>
          <w:szCs w:val="28"/>
        </w:rPr>
      </w:pPr>
    </w:p>
    <w:p w:rsidR="00752DD1" w:rsidRDefault="00752DD1" w:rsidP="008F050A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The barriers that would impede such collaboration </w:t>
      </w:r>
      <w:r w:rsidR="00C57ED0">
        <w:rPr>
          <w:sz w:val="28"/>
          <w:szCs w:val="28"/>
        </w:rPr>
        <w:t xml:space="preserve">to full </w:t>
      </w:r>
      <w:r>
        <w:rPr>
          <w:sz w:val="28"/>
          <w:szCs w:val="28"/>
        </w:rPr>
        <w:t>participation</w:t>
      </w:r>
      <w:r w:rsidR="00C57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to be </w:t>
      </w:r>
      <w:proofErr w:type="gramStart"/>
      <w:r>
        <w:rPr>
          <w:sz w:val="28"/>
          <w:szCs w:val="28"/>
        </w:rPr>
        <w:t>removed</w:t>
      </w:r>
      <w:proofErr w:type="gramEnd"/>
      <w:r>
        <w:rPr>
          <w:sz w:val="28"/>
          <w:szCs w:val="28"/>
        </w:rPr>
        <w:t>.</w:t>
      </w:r>
      <w:r w:rsidR="004A5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be able to run meetings including remote participation to include all stakeholders, accessibility guidelines have to </w:t>
      </w:r>
      <w:r w:rsidR="00871894">
        <w:rPr>
          <w:sz w:val="28"/>
          <w:szCs w:val="28"/>
        </w:rPr>
        <w:t xml:space="preserve">be </w:t>
      </w:r>
      <w:r>
        <w:rPr>
          <w:sz w:val="28"/>
          <w:szCs w:val="28"/>
        </w:rPr>
        <w:t xml:space="preserve">followed to make this </w:t>
      </w:r>
      <w:r w:rsidR="00871894">
        <w:rPr>
          <w:sz w:val="28"/>
          <w:szCs w:val="28"/>
        </w:rPr>
        <w:t>collaboration</w:t>
      </w:r>
      <w:r>
        <w:rPr>
          <w:sz w:val="28"/>
          <w:szCs w:val="28"/>
        </w:rPr>
        <w:t xml:space="preserve"> </w:t>
      </w:r>
      <w:r w:rsidR="00871894">
        <w:rPr>
          <w:sz w:val="28"/>
          <w:szCs w:val="28"/>
        </w:rPr>
        <w:t>possible.</w:t>
      </w:r>
      <w:r>
        <w:rPr>
          <w:sz w:val="28"/>
          <w:szCs w:val="28"/>
        </w:rPr>
        <w:t xml:space="preserve">  </w:t>
      </w:r>
    </w:p>
    <w:p w:rsidR="00030E05" w:rsidRDefault="00030E05" w:rsidP="00844733">
      <w:pPr>
        <w:pStyle w:val="PlainText"/>
        <w:rPr>
          <w:sz w:val="28"/>
          <w:szCs w:val="28"/>
        </w:rPr>
      </w:pPr>
    </w:p>
    <w:p w:rsidR="00030E05" w:rsidRDefault="00871894" w:rsidP="00030E05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Accessibility services </w:t>
      </w:r>
      <w:r w:rsidR="00030E05">
        <w:rPr>
          <w:sz w:val="28"/>
          <w:szCs w:val="28"/>
        </w:rPr>
        <w:t xml:space="preserve">have to be </w:t>
      </w:r>
      <w:r>
        <w:rPr>
          <w:sz w:val="28"/>
          <w:szCs w:val="28"/>
        </w:rPr>
        <w:t xml:space="preserve">provided </w:t>
      </w:r>
      <w:r w:rsidR="00030E05">
        <w:rPr>
          <w:sz w:val="28"/>
          <w:szCs w:val="28"/>
        </w:rPr>
        <w:t xml:space="preserve">as </w:t>
      </w:r>
      <w:r w:rsidR="00403B33">
        <w:rPr>
          <w:sz w:val="28"/>
          <w:szCs w:val="28"/>
        </w:rPr>
        <w:t xml:space="preserve">a </w:t>
      </w:r>
      <w:r w:rsidR="00030E05">
        <w:rPr>
          <w:sz w:val="28"/>
          <w:szCs w:val="28"/>
        </w:rPr>
        <w:t>normal process n</w:t>
      </w:r>
      <w:r>
        <w:rPr>
          <w:sz w:val="28"/>
          <w:szCs w:val="28"/>
        </w:rPr>
        <w:t>ot</w:t>
      </w:r>
      <w:r w:rsidR="00030E05">
        <w:rPr>
          <w:sz w:val="28"/>
          <w:szCs w:val="28"/>
        </w:rPr>
        <w:t xml:space="preserve"> as a special service</w:t>
      </w:r>
      <w:r>
        <w:rPr>
          <w:sz w:val="28"/>
          <w:szCs w:val="28"/>
        </w:rPr>
        <w:t xml:space="preserve">. </w:t>
      </w:r>
      <w:r w:rsidR="00030E05">
        <w:rPr>
          <w:sz w:val="28"/>
          <w:szCs w:val="28"/>
        </w:rPr>
        <w:t xml:space="preserve"> Providing fellowships to attend </w:t>
      </w:r>
      <w:r>
        <w:rPr>
          <w:sz w:val="28"/>
          <w:szCs w:val="28"/>
        </w:rPr>
        <w:t>meetings</w:t>
      </w:r>
      <w:r w:rsidR="00030E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0E05">
        <w:rPr>
          <w:sz w:val="28"/>
          <w:szCs w:val="28"/>
        </w:rPr>
        <w:t>captioning and sign l</w:t>
      </w:r>
      <w:r>
        <w:rPr>
          <w:sz w:val="28"/>
          <w:szCs w:val="28"/>
        </w:rPr>
        <w:t xml:space="preserve">anguage and audio description are a few examples. </w:t>
      </w:r>
    </w:p>
    <w:p w:rsidR="00030E05" w:rsidRDefault="00030E05" w:rsidP="00844733">
      <w:pPr>
        <w:pStyle w:val="PlainText"/>
        <w:rPr>
          <w:rFonts w:ascii="Verdana" w:hAnsi="Verdana" w:cs="Times New Roman"/>
          <w:sz w:val="18"/>
          <w:szCs w:val="18"/>
          <w:lang w:eastAsia="ja-JP"/>
        </w:rPr>
      </w:pPr>
    </w:p>
    <w:p w:rsidR="00030E05" w:rsidRDefault="00752DD1" w:rsidP="00030E05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The major problem in getting participation from this stakeholder group</w:t>
      </w:r>
      <w:r w:rsidR="00871894">
        <w:rPr>
          <w:sz w:val="28"/>
          <w:szCs w:val="28"/>
        </w:rPr>
        <w:t xml:space="preserve"> to attend meetings to </w:t>
      </w:r>
      <w:r>
        <w:rPr>
          <w:sz w:val="28"/>
          <w:szCs w:val="28"/>
        </w:rPr>
        <w:t>contribute is also financial. With the</w:t>
      </w:r>
      <w:r w:rsidR="00844733" w:rsidRPr="00D41381">
        <w:rPr>
          <w:sz w:val="28"/>
          <w:szCs w:val="28"/>
        </w:rPr>
        <w:t xml:space="preserve"> lack of sufficient finance</w:t>
      </w:r>
      <w:r w:rsidR="00030E05">
        <w:rPr>
          <w:sz w:val="28"/>
          <w:szCs w:val="28"/>
        </w:rPr>
        <w:t xml:space="preserve"> to </w:t>
      </w:r>
      <w:r w:rsidR="004A5E1E">
        <w:rPr>
          <w:sz w:val="28"/>
          <w:szCs w:val="28"/>
        </w:rPr>
        <w:t>provide these services so that</w:t>
      </w:r>
      <w:r w:rsidR="00030E05">
        <w:rPr>
          <w:sz w:val="28"/>
          <w:szCs w:val="28"/>
        </w:rPr>
        <w:t xml:space="preserve"> persons with disabilities and specific</w:t>
      </w:r>
      <w:r w:rsidR="004A5E1E">
        <w:rPr>
          <w:sz w:val="28"/>
          <w:szCs w:val="28"/>
        </w:rPr>
        <w:t xml:space="preserve"> needs </w:t>
      </w:r>
      <w:r w:rsidR="00871894">
        <w:rPr>
          <w:sz w:val="28"/>
          <w:szCs w:val="28"/>
        </w:rPr>
        <w:t xml:space="preserve">can be realistically be invited </w:t>
      </w:r>
      <w:r w:rsidR="00030E05" w:rsidRPr="00D41381">
        <w:rPr>
          <w:sz w:val="28"/>
          <w:szCs w:val="28"/>
        </w:rPr>
        <w:t>to contribute as experts</w:t>
      </w:r>
      <w:r w:rsidR="00030E05">
        <w:rPr>
          <w:sz w:val="28"/>
          <w:szCs w:val="28"/>
        </w:rPr>
        <w:t xml:space="preserve"> needs to be </w:t>
      </w:r>
      <w:r w:rsidR="00871894">
        <w:rPr>
          <w:sz w:val="28"/>
          <w:szCs w:val="28"/>
        </w:rPr>
        <w:t>addressed. Remote participation tool</w:t>
      </w:r>
      <w:r w:rsidR="004A5E1E">
        <w:rPr>
          <w:sz w:val="28"/>
          <w:szCs w:val="28"/>
        </w:rPr>
        <w:t>s</w:t>
      </w:r>
      <w:r w:rsidR="00871894">
        <w:rPr>
          <w:sz w:val="28"/>
          <w:szCs w:val="28"/>
        </w:rPr>
        <w:t xml:space="preserve"> are also not entirely accessible uniform in design to have complete accessible access.  Some of the problems</w:t>
      </w:r>
      <w:r w:rsidR="004A5E1E">
        <w:rPr>
          <w:sz w:val="28"/>
          <w:szCs w:val="28"/>
        </w:rPr>
        <w:t xml:space="preserve"> of access</w:t>
      </w:r>
      <w:r w:rsidR="00871894">
        <w:rPr>
          <w:sz w:val="28"/>
          <w:szCs w:val="28"/>
        </w:rPr>
        <w:t xml:space="preserve"> are not readily apparent to persons who not have a disability. </w:t>
      </w:r>
    </w:p>
    <w:p w:rsidR="004A5E1E" w:rsidRDefault="004A5E1E" w:rsidP="00030E05">
      <w:pPr>
        <w:pStyle w:val="PlainText"/>
        <w:rPr>
          <w:sz w:val="28"/>
          <w:szCs w:val="28"/>
        </w:rPr>
      </w:pPr>
    </w:p>
    <w:p w:rsidR="004A5E1E" w:rsidRDefault="004A5E1E" w:rsidP="008F050A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The other financial factor that prevents inclusion in the </w:t>
      </w:r>
      <w:r w:rsidR="00DE63D8">
        <w:rPr>
          <w:sz w:val="28"/>
          <w:szCs w:val="28"/>
        </w:rPr>
        <w:t>standardization</w:t>
      </w:r>
      <w:r>
        <w:rPr>
          <w:sz w:val="28"/>
          <w:szCs w:val="28"/>
        </w:rPr>
        <w:t xml:space="preserve"> process is on that is still being decided by CWGs and that is how </w:t>
      </w:r>
      <w:r w:rsidR="00DE63D8">
        <w:rPr>
          <w:sz w:val="28"/>
          <w:szCs w:val="28"/>
        </w:rPr>
        <w:t xml:space="preserve">memberships to the ITU </w:t>
      </w:r>
      <w:r>
        <w:rPr>
          <w:sz w:val="28"/>
          <w:szCs w:val="28"/>
        </w:rPr>
        <w:t>that NPO’s (</w:t>
      </w:r>
      <w:r w:rsidR="00DE63D8">
        <w:rPr>
          <w:sz w:val="28"/>
          <w:szCs w:val="28"/>
        </w:rPr>
        <w:t>non-</w:t>
      </w:r>
      <w:r>
        <w:rPr>
          <w:sz w:val="28"/>
          <w:szCs w:val="28"/>
        </w:rPr>
        <w:t>profit organizations) representing Persons with disabilities and specific</w:t>
      </w:r>
      <w:r w:rsidR="00DE63D8">
        <w:rPr>
          <w:sz w:val="28"/>
          <w:szCs w:val="28"/>
        </w:rPr>
        <w:t xml:space="preserve"> needs </w:t>
      </w:r>
      <w:r>
        <w:rPr>
          <w:sz w:val="28"/>
          <w:szCs w:val="28"/>
        </w:rPr>
        <w:t xml:space="preserve">can be given without financial hardship. This certainly can have mutual </w:t>
      </w:r>
      <w:r w:rsidR="00DE63D8">
        <w:rPr>
          <w:sz w:val="28"/>
          <w:szCs w:val="28"/>
        </w:rPr>
        <w:t>benefits</w:t>
      </w:r>
      <w:r>
        <w:rPr>
          <w:sz w:val="28"/>
          <w:szCs w:val="28"/>
        </w:rPr>
        <w:t xml:space="preserve"> by also </w:t>
      </w:r>
      <w:r w:rsidR="00DE63D8">
        <w:rPr>
          <w:sz w:val="28"/>
          <w:szCs w:val="28"/>
        </w:rPr>
        <w:t>raising</w:t>
      </w:r>
      <w:r>
        <w:rPr>
          <w:sz w:val="28"/>
          <w:szCs w:val="28"/>
        </w:rPr>
        <w:t xml:space="preserve"> awareness</w:t>
      </w:r>
      <w:r w:rsidR="00DE63D8">
        <w:rPr>
          <w:sz w:val="28"/>
          <w:szCs w:val="28"/>
        </w:rPr>
        <w:t xml:space="preserve"> of the ITU and its membership.  They</w:t>
      </w:r>
      <w:r>
        <w:rPr>
          <w:sz w:val="28"/>
          <w:szCs w:val="28"/>
        </w:rPr>
        <w:t xml:space="preserve"> need to be able to have fees waived to join </w:t>
      </w:r>
      <w:r w:rsidR="00DE63D8">
        <w:rPr>
          <w:sz w:val="28"/>
          <w:szCs w:val="28"/>
        </w:rPr>
        <w:t xml:space="preserve">ITU </w:t>
      </w:r>
      <w:r>
        <w:rPr>
          <w:sz w:val="28"/>
          <w:szCs w:val="28"/>
        </w:rPr>
        <w:t>group</w:t>
      </w:r>
      <w:r w:rsidR="00DE63D8">
        <w:rPr>
          <w:sz w:val="28"/>
          <w:szCs w:val="28"/>
        </w:rPr>
        <w:t xml:space="preserve"> once verified.</w:t>
      </w:r>
      <w:r>
        <w:rPr>
          <w:sz w:val="28"/>
          <w:szCs w:val="28"/>
        </w:rPr>
        <w:t xml:space="preserve"> </w:t>
      </w:r>
    </w:p>
    <w:p w:rsidR="004A5E1E" w:rsidRDefault="004A5E1E" w:rsidP="00030E05">
      <w:pPr>
        <w:pStyle w:val="PlainText"/>
        <w:rPr>
          <w:sz w:val="28"/>
          <w:szCs w:val="28"/>
        </w:rPr>
      </w:pPr>
    </w:p>
    <w:p w:rsidR="00752DD1" w:rsidRDefault="00752DD1" w:rsidP="008F050A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The ITU-T have produced </w:t>
      </w:r>
      <w:r w:rsidR="00DE63D8">
        <w:rPr>
          <w:sz w:val="28"/>
          <w:szCs w:val="28"/>
        </w:rPr>
        <w:t xml:space="preserve">guidelines, Technical Papers and Recommendations that actually provide technical global solutions to with the help of Persons with Disabilities who were actively </w:t>
      </w:r>
      <w:r>
        <w:rPr>
          <w:sz w:val="28"/>
          <w:szCs w:val="28"/>
        </w:rPr>
        <w:t xml:space="preserve">involved in the creating </w:t>
      </w:r>
      <w:r w:rsidR="00DE63D8">
        <w:rPr>
          <w:sz w:val="28"/>
          <w:szCs w:val="28"/>
        </w:rPr>
        <w:t>them by attending meetings with accessibility support physically or remotely.</w:t>
      </w:r>
    </w:p>
    <w:p w:rsidR="00DE63D8" w:rsidRDefault="00DE63D8" w:rsidP="00752DD1">
      <w:pPr>
        <w:pStyle w:val="PlainText"/>
        <w:rPr>
          <w:sz w:val="28"/>
          <w:szCs w:val="28"/>
        </w:rPr>
      </w:pPr>
    </w:p>
    <w:p w:rsidR="00DE63D8" w:rsidRDefault="00DE63D8" w:rsidP="00752DD1">
      <w:pPr>
        <w:pStyle w:val="PlainText"/>
        <w:rPr>
          <w:sz w:val="28"/>
          <w:szCs w:val="28"/>
        </w:rPr>
      </w:pPr>
      <w:r>
        <w:rPr>
          <w:sz w:val="28"/>
          <w:szCs w:val="28"/>
        </w:rPr>
        <w:lastRenderedPageBreak/>
        <w:t>The ones listed below by links are the most recent.</w:t>
      </w:r>
    </w:p>
    <w:p w:rsidR="008F050A" w:rsidRPr="008F050A" w:rsidRDefault="00DF06FF" w:rsidP="008F050A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hyperlink r:id="rId5" w:history="1">
        <w:r w:rsidR="008F050A" w:rsidRPr="008F050A">
          <w:rPr>
            <w:rStyle w:val="Hyperlink"/>
            <w:rFonts w:asciiTheme="minorHAnsi" w:hAnsiTheme="minorHAnsi"/>
            <w:sz w:val="28"/>
            <w:szCs w:val="28"/>
          </w:rPr>
          <w:t>ITU-T H.702 (11/2015) Accessibility profiles for IPTV systems</w:t>
        </w:r>
      </w:hyperlink>
    </w:p>
    <w:p w:rsidR="003429F2" w:rsidRPr="008F050A" w:rsidRDefault="00DF06FF" w:rsidP="008F050A">
      <w:pPr>
        <w:pStyle w:val="ListParagraph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hyperlink r:id="rId6" w:history="1">
        <w:r w:rsidR="003D7B0F" w:rsidRPr="008F050A">
          <w:rPr>
            <w:rStyle w:val="Hyperlink"/>
            <w:rFonts w:asciiTheme="minorHAnsi" w:hAnsiTheme="minorHAnsi"/>
            <w:sz w:val="28"/>
            <w:szCs w:val="28"/>
          </w:rPr>
          <w:t>ITU-T F.791 (11/2015) Accessibility terms and definitions</w:t>
        </w:r>
      </w:hyperlink>
    </w:p>
    <w:p w:rsidR="008F050A" w:rsidRPr="008F050A" w:rsidRDefault="00DF06FF" w:rsidP="008F050A">
      <w:pPr>
        <w:pStyle w:val="PlainText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hyperlink r:id="rId7" w:history="1">
        <w:r w:rsidR="008F050A" w:rsidRPr="008F050A">
          <w:rPr>
            <w:rStyle w:val="Hyperlink"/>
            <w:rFonts w:asciiTheme="minorHAnsi" w:hAnsiTheme="minorHAnsi"/>
            <w:sz w:val="28"/>
            <w:szCs w:val="28"/>
          </w:rPr>
          <w:t>FSTP-ACC-</w:t>
        </w:r>
        <w:proofErr w:type="spellStart"/>
        <w:r w:rsidR="008F050A" w:rsidRPr="008F050A">
          <w:rPr>
            <w:rStyle w:val="Hyperlink"/>
            <w:rFonts w:asciiTheme="minorHAnsi" w:hAnsiTheme="minorHAnsi"/>
            <w:sz w:val="28"/>
            <w:szCs w:val="28"/>
          </w:rPr>
          <w:t>RemPart</w:t>
        </w:r>
        <w:proofErr w:type="spellEnd"/>
        <w:r w:rsidR="008F050A" w:rsidRPr="008F050A">
          <w:rPr>
            <w:rStyle w:val="Hyperlink"/>
            <w:rFonts w:asciiTheme="minorHAnsi" w:hAnsiTheme="minorHAnsi"/>
            <w:sz w:val="28"/>
            <w:szCs w:val="28"/>
          </w:rPr>
          <w:t xml:space="preserve"> - Guidelines for supporting remote participation in meetings for all</w:t>
        </w:r>
      </w:hyperlink>
    </w:p>
    <w:p w:rsidR="008F050A" w:rsidRPr="008F050A" w:rsidRDefault="00DF06FF" w:rsidP="008F050A">
      <w:pPr>
        <w:pStyle w:val="PlainText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hyperlink r:id="rId8" w:history="1">
        <w:r w:rsidR="008F050A" w:rsidRPr="008F050A">
          <w:rPr>
            <w:rStyle w:val="Hyperlink"/>
            <w:rFonts w:asciiTheme="minorHAnsi" w:hAnsiTheme="minorHAnsi"/>
            <w:sz w:val="28"/>
            <w:szCs w:val="28"/>
          </w:rPr>
          <w:t>FSTP-AM - Guidelines for accessible meetings</w:t>
        </w:r>
      </w:hyperlink>
    </w:p>
    <w:p w:rsidR="003D7B0F" w:rsidRPr="008F050A" w:rsidRDefault="00DF06FF" w:rsidP="008F050A">
      <w:pPr>
        <w:pStyle w:val="ListParagraph"/>
        <w:numPr>
          <w:ilvl w:val="0"/>
          <w:numId w:val="11"/>
        </w:numPr>
        <w:rPr>
          <w:rFonts w:asciiTheme="minorHAnsi" w:hAnsiTheme="minorHAnsi" w:cs="Segoe UI"/>
          <w:color w:val="000000"/>
          <w:sz w:val="28"/>
          <w:szCs w:val="28"/>
          <w:lang w:val="en-US" w:eastAsia="en-US"/>
        </w:rPr>
      </w:pPr>
      <w:hyperlink r:id="rId9" w:history="1">
        <w:r w:rsidR="003D7B0F" w:rsidRPr="008F050A">
          <w:rPr>
            <w:rStyle w:val="Hyperlink"/>
            <w:rFonts w:asciiTheme="minorHAnsi" w:hAnsiTheme="minorHAnsi" w:cs="Segoe UI"/>
            <w:sz w:val="28"/>
            <w:szCs w:val="28"/>
          </w:rPr>
          <w:t xml:space="preserve">DCAD Accessibility Guidelines </w:t>
        </w:r>
      </w:hyperlink>
      <w:r w:rsidR="003D7B0F" w:rsidRPr="008F050A">
        <w:rPr>
          <w:rFonts w:asciiTheme="minorHAnsi" w:hAnsiTheme="minorHAnsi" w:cs="Segoe UI"/>
          <w:color w:val="000000"/>
          <w:sz w:val="28"/>
          <w:szCs w:val="28"/>
        </w:rPr>
        <w:t>(2015) - produced in 10th IGF 2015, Brazil</w:t>
      </w:r>
    </w:p>
    <w:p w:rsidR="003D7B0F" w:rsidRDefault="003D7B0F" w:rsidP="00AB258E">
      <w:pPr>
        <w:rPr>
          <w:sz w:val="28"/>
          <w:szCs w:val="28"/>
          <w:lang w:val="en-US"/>
        </w:rPr>
      </w:pPr>
    </w:p>
    <w:p w:rsidR="008F050A" w:rsidRDefault="008F050A" w:rsidP="00AB258E">
      <w:pPr>
        <w:rPr>
          <w:sz w:val="28"/>
          <w:szCs w:val="28"/>
          <w:lang w:val="en-US"/>
        </w:rPr>
      </w:pPr>
    </w:p>
    <w:p w:rsidR="008F050A" w:rsidRPr="005E02A6" w:rsidRDefault="008F050A" w:rsidP="008F050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</w:t>
      </w:r>
    </w:p>
    <w:sectPr w:rsidR="008F050A" w:rsidRPr="005E02A6" w:rsidSect="009E640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253BF8"/>
    <w:multiLevelType w:val="hybridMultilevel"/>
    <w:tmpl w:val="D1B8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33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0E05"/>
    <w:rsid w:val="0003117B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76C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4198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D28"/>
    <w:rsid w:val="003B2A40"/>
    <w:rsid w:val="003B53B3"/>
    <w:rsid w:val="003D0967"/>
    <w:rsid w:val="003D2C2B"/>
    <w:rsid w:val="003D3C3E"/>
    <w:rsid w:val="003D58F8"/>
    <w:rsid w:val="003D7964"/>
    <w:rsid w:val="003D7B0F"/>
    <w:rsid w:val="003E152B"/>
    <w:rsid w:val="003E21BA"/>
    <w:rsid w:val="003E440C"/>
    <w:rsid w:val="003F5E9C"/>
    <w:rsid w:val="003F6921"/>
    <w:rsid w:val="003F7CBB"/>
    <w:rsid w:val="00401E75"/>
    <w:rsid w:val="00402B6C"/>
    <w:rsid w:val="004032AC"/>
    <w:rsid w:val="00403B33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5E1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7D55"/>
    <w:rsid w:val="005166B9"/>
    <w:rsid w:val="00517C7D"/>
    <w:rsid w:val="00522154"/>
    <w:rsid w:val="00524AF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5F9B"/>
    <w:rsid w:val="005771A3"/>
    <w:rsid w:val="0057782F"/>
    <w:rsid w:val="005815CC"/>
    <w:rsid w:val="00583141"/>
    <w:rsid w:val="0058633E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0DC7"/>
    <w:rsid w:val="005C6264"/>
    <w:rsid w:val="005D3BE6"/>
    <w:rsid w:val="005D572B"/>
    <w:rsid w:val="005D633F"/>
    <w:rsid w:val="005D6FA8"/>
    <w:rsid w:val="005D7328"/>
    <w:rsid w:val="005E02A6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048F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AB0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2DD1"/>
    <w:rsid w:val="00753305"/>
    <w:rsid w:val="00753F94"/>
    <w:rsid w:val="00755A6D"/>
    <w:rsid w:val="0075669A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4733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1894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050A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5E77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42CB"/>
    <w:rsid w:val="00B250FE"/>
    <w:rsid w:val="00B32463"/>
    <w:rsid w:val="00B33913"/>
    <w:rsid w:val="00B33DFA"/>
    <w:rsid w:val="00B451A9"/>
    <w:rsid w:val="00B4669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7ED0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A0B6A"/>
    <w:rsid w:val="00CA0E12"/>
    <w:rsid w:val="00CA1EC3"/>
    <w:rsid w:val="00CA318C"/>
    <w:rsid w:val="00CA577E"/>
    <w:rsid w:val="00CA6505"/>
    <w:rsid w:val="00CA7227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1381"/>
    <w:rsid w:val="00D42D8D"/>
    <w:rsid w:val="00D43B84"/>
    <w:rsid w:val="00D45DE4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3D8"/>
    <w:rsid w:val="00DE68D8"/>
    <w:rsid w:val="00DE7E61"/>
    <w:rsid w:val="00DF06FF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00BEE-18DF-47DA-B73F-6ADDE6FF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58E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BB46A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BB46A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rsid w:val="00BB46A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BB46A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B46A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uiPriority w:val="99"/>
    <w:rsid w:val="00BB46A0"/>
    <w:rPr>
      <w:color w:val="0000FF"/>
      <w:u w:val="single"/>
    </w:rPr>
  </w:style>
  <w:style w:type="paragraph" w:customStyle="1" w:styleId="LSDeadline">
    <w:name w:val="LSDeadline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customStyle="1" w:styleId="LSFor">
    <w:name w:val="LSFor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customStyle="1" w:styleId="LSSource">
    <w:name w:val="LSSource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customStyle="1" w:styleId="LSTitle">
    <w:name w:val="LSTitle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customStyle="1" w:styleId="LSTo">
    <w:name w:val="LSTo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customStyle="1" w:styleId="Note">
    <w:name w:val="Note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0B594B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rsid w:val="00B10963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B1096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10963"/>
    <w:pPr>
      <w:ind w:left="2269"/>
    </w:pPr>
  </w:style>
  <w:style w:type="paragraph" w:customStyle="1" w:styleId="Normalbeforetable">
    <w:name w:val="Normal before table"/>
    <w:basedOn w:val="Normal"/>
    <w:rsid w:val="00FC729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FB216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B216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FB216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D50DD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9B76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9B7695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6733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40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AB258E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semiHidden/>
    <w:rsid w:val="005B29FD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5B29FD"/>
    <w:rPr>
      <w:rFonts w:eastAsia="Times New Roman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4733"/>
    <w:pPr>
      <w:spacing w:before="0"/>
    </w:pPr>
    <w:rPr>
      <w:rFonts w:ascii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4733"/>
    <w:rPr>
      <w:rFonts w:ascii="Calibri" w:hAnsi="Calibri" w:cs="Consolas"/>
      <w:sz w:val="22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9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98"/>
    <w:rPr>
      <w:rFonts w:ascii="Segoe UI" w:hAnsi="Segoe UI" w:cs="Segoe UI"/>
      <w:sz w:val="18"/>
      <w:szCs w:val="18"/>
      <w:lang w:val="en-GB" w:eastAsia="ja-JP"/>
    </w:rPr>
  </w:style>
  <w:style w:type="paragraph" w:styleId="ListParagraph">
    <w:name w:val="List Paragraph"/>
    <w:basedOn w:val="Normal"/>
    <w:uiPriority w:val="34"/>
    <w:qFormat/>
    <w:rsid w:val="008F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T-TUT-FSTP-2015-A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itu.int/pub/T-TUT-FSTP-2015-ACC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u.int/ITU-T/recommendations/rec.aspx?rec=12624&amp;lang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tu.int/ITU-T/recommendations/rec.aspx?rec=12648&amp;lang=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en/ITU-T/accessibility/dcad/Documents/IGF%202015%20DCAD%20Accessibility%20Guidelines%20-%20Final%20V8.doc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129DE-FD14-4EF0-BA64-18D286FEA86D}"/>
</file>

<file path=customXml/itemProps2.xml><?xml version="1.0" encoding="utf-8"?>
<ds:datastoreItem xmlns:ds="http://schemas.openxmlformats.org/officeDocument/2006/customXml" ds:itemID="{62083024-C1E2-4222-B96F-562B9857C39B}"/>
</file>

<file path=customXml/itemProps3.xml><?xml version="1.0" encoding="utf-8"?>
<ds:datastoreItem xmlns:ds="http://schemas.openxmlformats.org/officeDocument/2006/customXml" ds:itemID="{5E6EDCB0-FD83-46CB-BA46-C808A8A055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Saks</dc:creator>
  <cp:keywords/>
  <dc:description/>
  <cp:lastModifiedBy>Mizuno, Kaoru</cp:lastModifiedBy>
  <cp:revision>6</cp:revision>
  <cp:lastPrinted>2016-01-29T10:11:00Z</cp:lastPrinted>
  <dcterms:created xsi:type="dcterms:W3CDTF">2016-01-29T14:25:00Z</dcterms:created>
  <dcterms:modified xsi:type="dcterms:W3CDTF">2016-01-29T14:30:00Z</dcterms:modified>
</cp:coreProperties>
</file>